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笔试大纲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一、考试的主要范围和基本要求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88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主要范围。主要考核政治理论综合、防震减灾知识、通识知识、职业能力测试四方面的内容。各部分的比重分别为2:1:2:5。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基本要求。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二、题型构成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笔试试题由单选、多选、判断等题型组成。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三、考试范围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政治理论综合。马克思主义哲学基本原理、毛泽东思想概论、中国特色社会主义理论体系、习近平新时代中国特色社会主义思想等方面的知识，以及2021年1月-2022年3月期间的时事政治。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  防震减灾知识。防震减灾法律、防震减灾基础知识、地震自然灾害常识等。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通识知识。自然科学常识（天文地理常识）、高新科技常识（计算机技术、信息与通信技术、人工智能）、国家高新科技计划与科学奖励（高新技术及项目概念、人物）、文史常识等。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职业能力测试。逻辑判断及推理、数量关系理解与计算、言语理解、资料分析。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C1A7F"/>
    <w:rsid w:val="3E5E549D"/>
    <w:rsid w:val="776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2022-04-08T03:04:36Z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7C0D4DB23A71494EB9D0769C88803443</vt:lpwstr>
  </property>
</Properties>
</file>